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992.125984251968" w:right="0" w:hanging="708.6614173228338"/>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1275"/>
              </w:tabs>
              <w:spacing w:after="120" w:before="120" w:line="240" w:lineRule="auto"/>
              <w:ind w:left="850.3937007874017" w:right="0" w:hanging="992.125984251968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 w:right="0" w:hanging="708.66141732283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Consequences of Financial Distress Events</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63">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vertAlign w:val="baseline"/>
              </w:rPr>
            </w:pPr>
            <w:bookmarkStart w:colFirst="0" w:colLast="0" w:name="_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Reporting Frequency [if different from the default position set out in Paragraph 2.3.2)]</w:t>
            </w:r>
          </w:p>
        </w:tc>
      </w:tr>
      <w:tr>
        <w:trPr>
          <w:cantSplit w:val="0"/>
          <w:tblHeader w:val="0"/>
        </w:trPr>
        <w:tc>
          <w:tcPr>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1</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[Operating Margin]</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tl w:val="0"/>
              </w:rPr>
            </w:r>
          </w:p>
        </w:tc>
        <w:tc>
          <w:tcPr>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[Operating Margin = Operating Profit / Revenue]</w:t>
            </w:r>
          </w:p>
        </w:tc>
        <w:tc>
          <w:tcPr>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3</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p>
        </w:tc>
        <w:tc>
          <w:tcPr>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yearly 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2</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to EBITDA Ratio]</w:t>
            </w:r>
          </w:p>
        </w:tc>
        <w:tc>
          <w:tcPr>
            <w:vAlign w:val="cente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7030a0"/>
                <w:sz w:val="24"/>
                <w:szCs w:val="24"/>
                <w:u w:val="none"/>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to EBITDA ratio = Net Debt / EBITDA]</w:t>
            </w:r>
          </w:p>
        </w:tc>
        <w:tc>
          <w:tcPr>
            <w:vAlign w:val="cente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3.5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yearly</w:t>
            </w:r>
            <w:r w:rsidDel="00000000" w:rsidR="00000000" w:rsidRPr="00000000">
              <w:rPr>
                <w:rFonts w:ascii="Arial" w:cs="Arial" w:eastAsia="Arial" w:hAnsi="Arial"/>
                <w:b w:val="0"/>
                <w:i w:val="1"/>
                <w:smallCaps w:val="0"/>
                <w:strike w:val="0"/>
                <w:color w:val="7030a0"/>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in arrears within 90 days of each accounting reference date based upon</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at, the relevant accounting reference date</w:t>
            </w:r>
          </w:p>
        </w:tc>
      </w:tr>
      <w:tr>
        <w:trPr>
          <w:cantSplit w:val="0"/>
          <w:tblHeader w:val="0"/>
        </w:trPr>
        <w:tc>
          <w:tcPr>
            <w:vAlign w:val="cente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3</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 Net Pension Deficit to EBITDA ratio]</w:t>
            </w:r>
          </w:p>
        </w:tc>
        <w:tc>
          <w:tcP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 Net Pension Deficit to EBITDA Ratio = (Net Debt + Net Pension Deficit) / EBITDA]</w:t>
            </w:r>
          </w:p>
        </w:tc>
        <w:tc>
          <w:tcPr>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yearly in arrears within </w:t>
            </w:r>
            <w:r w:rsidDel="00000000" w:rsidR="00000000" w:rsidRPr="00000000">
              <w:rPr>
                <w:rFonts w:ascii="Arial" w:cs="Arial" w:eastAsia="Arial" w:hAnsi="Arial"/>
                <w:b w:val="0"/>
                <w:i w:val="1"/>
                <w:smallCaps w:val="0"/>
                <w:strike w:val="0"/>
                <w:sz w:val="24"/>
                <w:szCs w:val="24"/>
                <w:u w:val="none"/>
                <w:vertAlign w:val="baseline"/>
                <w:rtl w:val="0"/>
              </w:rPr>
              <w:t xml:space="preserve">90</w:t>
            </w:r>
            <w:r w:rsidDel="00000000" w:rsidR="00000000" w:rsidRPr="00000000">
              <w:rPr>
                <w:rFonts w:ascii="Arial" w:cs="Arial" w:eastAsia="Arial" w:hAnsi="Arial"/>
                <w:b w:val="0"/>
                <w:i w:val="1"/>
                <w:smallCaps w:val="0"/>
                <w:strike w:val="0"/>
                <w:color w:val="f79646"/>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4</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Interest Paid Cover]</w:t>
            </w:r>
          </w:p>
        </w:tc>
        <w:tc>
          <w:tcP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3</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yearly</w:t>
            </w:r>
            <w:r w:rsidDel="00000000" w:rsidR="00000000" w:rsidRPr="00000000">
              <w:rPr>
                <w:rFonts w:ascii="Arial" w:cs="Arial" w:eastAsia="Arial" w:hAnsi="Arial"/>
                <w:b w:val="0"/>
                <w:i w:val="1"/>
                <w:smallCaps w:val="0"/>
                <w:strike w:val="0"/>
                <w:color w:val="8064a2"/>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5</w:t>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[Acid Ratio]</w:t>
            </w:r>
          </w:p>
        </w:tc>
        <w:tc>
          <w:tcP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[Acid Ratio = (Current Assets – Inventories) / Current Liabilities]</w:t>
            </w:r>
          </w:p>
        </w:tc>
        <w:tc>
          <w:tcPr>
            <w:vAlign w:val="cente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1</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6</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Asset value]</w:t>
            </w:r>
          </w:p>
        </w:tc>
        <w:tc>
          <w:tcP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Asset Value = Net Assets]</w:t>
            </w:r>
          </w:p>
        </w:tc>
        <w:tc>
          <w:tcP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£0]</w:t>
            </w:r>
          </w:p>
        </w:tc>
        <w:tc>
          <w:tcPr>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7</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[Group Exposure Ratio]</w:t>
            </w:r>
          </w:p>
        </w:tc>
        <w:tc>
          <w:tcPr>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[Group Exposure / Gross Assets]</w:t>
            </w:r>
          </w:p>
        </w:tc>
        <w:tc>
          <w:tcPr>
            <w:vAlign w:val="cente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50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p>
        </w:tc>
        <w:tc>
          <w:tcPr>
            <w:vAlign w:val="cente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Dunn &amp; Bradstreet</w:t>
      </w:r>
      <w:r w:rsidDel="00000000" w:rsidR="00000000" w:rsidRPr="00000000">
        <w:rPr>
          <w:rtl w:val="0"/>
        </w:rPr>
      </w:r>
    </w:p>
    <w:p w:rsidR="00000000" w:rsidDel="00000000" w:rsidP="00000000" w:rsidRDefault="00000000" w:rsidRPr="00000000" w14:paraId="000000B4">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2</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Ratings and Credit Rating Thresholds</w:t>
      </w:r>
    </w:p>
    <w:p w:rsidR="00000000" w:rsidDel="00000000" w:rsidP="00000000" w:rsidRDefault="00000000" w:rsidRPr="00000000" w14:paraId="000000B6">
      <w:pPr>
        <w:keepNext w:val="1"/>
        <w:ind w:lef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1: Current Rating</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See lot specific thresholds below</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Guarantor</w:t>
            </w:r>
          </w:p>
        </w:tc>
        <w:tc>
          <w:tcPr>
            <w:shd w:fill="ffffff" w:val="clear"/>
          </w:tcPr>
          <w:p w:rsidR="00000000" w:rsidDel="00000000" w:rsidP="00000000" w:rsidRDefault="00000000" w:rsidRPr="00000000" w14:paraId="000000B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40</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40</w:t>
            </w:r>
            <w:r w:rsidDel="00000000" w:rsidR="00000000" w:rsidRPr="00000000">
              <w:rPr>
                <w:rtl w:val="0"/>
              </w:rPr>
            </w:r>
          </w:p>
        </w:tc>
      </w:tr>
    </w:tbl>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2: Credit Rating Threshold</w:t>
      </w:r>
    </w:p>
    <w:p w:rsidR="00000000" w:rsidDel="00000000" w:rsidP="00000000" w:rsidRDefault="00000000" w:rsidRPr="00000000" w14:paraId="000000C1">
      <w:pPr>
        <w:spacing w:after="0" w:lineRule="auto"/>
        <w:rPr>
          <w:rFonts w:ascii="Arial" w:cs="Arial" w:eastAsia="Arial" w:hAnsi="Arial"/>
          <w:b w:val="1"/>
          <w:sz w:val="24"/>
          <w:szCs w:val="24"/>
        </w:rPr>
      </w:pPr>
      <w:r w:rsidDel="00000000" w:rsidR="00000000" w:rsidRPr="00000000">
        <w:rPr>
          <w:rtl w:val="0"/>
        </w:rPr>
      </w:r>
    </w:p>
    <w:tbl>
      <w:tblPr>
        <w:tblStyle w:val="Table5"/>
        <w:tblW w:w="6255.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55"/>
        <w:gridCol w:w="3300"/>
        <w:tblGridChange w:id="0">
          <w:tblGrid>
            <w:gridCol w:w="2955"/>
            <w:gridCol w:w="330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2">
            <w:pPr>
              <w:widowControl w:val="0"/>
              <w:spacing w:after="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No. &amp; Description</w:t>
            </w:r>
          </w:p>
        </w:tc>
        <w:tc>
          <w:tcPr>
            <w:shd w:fill="auto" w:val="clear"/>
            <w:tcMar>
              <w:top w:w="100.0" w:type="dxa"/>
              <w:left w:w="100.0" w:type="dxa"/>
              <w:bottom w:w="100.0" w:type="dxa"/>
              <w:right w:w="100.0" w:type="dxa"/>
            </w:tcMar>
          </w:tcPr>
          <w:p w:rsidR="00000000" w:rsidDel="00000000" w:rsidP="00000000" w:rsidRDefault="00000000" w:rsidRPr="00000000" w14:paraId="000000C3">
            <w:pPr>
              <w:widowControl w:val="0"/>
              <w:spacing w:after="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threshold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4">
            <w:pPr>
              <w:widowControl w:val="0"/>
              <w:spacing w:after="0" w:lineRule="auto"/>
              <w:jc w:val="left"/>
              <w:rPr>
                <w:rFonts w:ascii="Arial" w:cs="Arial" w:eastAsia="Arial" w:hAnsi="Arial"/>
                <w:b w:val="1"/>
              </w:rPr>
            </w:pPr>
            <w:r w:rsidDel="00000000" w:rsidR="00000000" w:rsidRPr="00000000">
              <w:rPr>
                <w:rFonts w:ascii="Arial" w:cs="Arial" w:eastAsia="Arial" w:hAnsi="Arial"/>
                <w:b w:val="1"/>
                <w:rtl w:val="0"/>
              </w:rPr>
              <w:t xml:space="preserve">Lot 1 </w:t>
            </w:r>
            <w:r w:rsidDel="00000000" w:rsidR="00000000" w:rsidRPr="00000000">
              <w:rPr>
                <w:rFonts w:ascii="Arial" w:cs="Arial" w:eastAsia="Arial" w:hAnsi="Arial"/>
                <w:rtl w:val="0"/>
              </w:rPr>
              <w:t xml:space="preserve">Print and Digital Communications - Direct Award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5">
            <w:pPr>
              <w:widowControl w:val="0"/>
              <w:spacing w:after="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6">
            <w:pPr>
              <w:widowControl w:val="0"/>
              <w:spacing w:after="0" w:lineRule="auto"/>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2</w:t>
            </w:r>
            <w:r w:rsidDel="00000000" w:rsidR="00000000" w:rsidRPr="00000000">
              <w:rPr>
                <w:rFonts w:ascii="Arial" w:cs="Arial" w:eastAsia="Arial" w:hAnsi="Arial"/>
                <w:sz w:val="24"/>
                <w:szCs w:val="24"/>
                <w:rtl w:val="0"/>
              </w:rPr>
              <w:t xml:space="preserve"> Print and Digital Communications - Further Competition</w:t>
            </w:r>
          </w:p>
        </w:tc>
        <w:tc>
          <w:tcPr>
            <w:shd w:fill="auto" w:val="clear"/>
            <w:tcMar>
              <w:top w:w="100.0" w:type="dxa"/>
              <w:left w:w="100.0" w:type="dxa"/>
              <w:bottom w:w="100.0" w:type="dxa"/>
              <w:right w:w="100.0" w:type="dxa"/>
            </w:tcMar>
          </w:tcPr>
          <w:p w:rsidR="00000000" w:rsidDel="00000000" w:rsidP="00000000" w:rsidRDefault="00000000" w:rsidRPr="00000000" w14:paraId="000000C7">
            <w:pPr>
              <w:widowControl w:val="0"/>
              <w:spacing w:after="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40</w:t>
            </w:r>
          </w:p>
        </w:tc>
      </w:tr>
    </w:tbl>
    <w:p w:rsidR="00000000" w:rsidDel="00000000" w:rsidP="00000000" w:rsidRDefault="00000000" w:rsidRPr="00000000" w14:paraId="000000C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6"/>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Free Cash Flow to Net Debt Ratio</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Net Cash Flow from Operating Activities – Capital Expenditure</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Purchase of property, plant &amp; equipment + purchase of intangible assets</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should be stated after deduction of interest and tax paid.</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3">
      <w:pPr>
        <w:spacing w:after="200" w:line="276" w:lineRule="auto"/>
        <w:jc w:val="left"/>
        <w:rPr>
          <w:rFonts w:ascii="Arial" w:cs="Arial" w:eastAsia="Arial" w:hAnsi="Arial"/>
          <w:sz w:val="24"/>
          <w:szCs w:val="24"/>
        </w:rPr>
      </w:pPr>
      <w:bookmarkStart w:colFirst="0" w:colLast="0" w:name="_17dp8vu" w:id="10"/>
      <w:bookmarkEnd w:id="10"/>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                                           </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9">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B">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strategic-supplier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